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2640348E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Devonport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4B1DD5CF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6A4A23">
              <w:rPr>
                <w:rFonts w:asciiTheme="minorHAnsi" w:hAnsiTheme="minorHAnsi" w:cstheme="minorBidi"/>
                <w:sz w:val="17"/>
                <w:szCs w:val="17"/>
              </w:rPr>
              <w:t>North Melbourne Community Centre</w:t>
            </w:r>
            <w:r w:rsidR="00776722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</w:p>
          <w:p w14:paraId="1BF183ED" w14:textId="483CA099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6A4A23">
              <w:rPr>
                <w:rFonts w:cstheme="minorBidi"/>
                <w:sz w:val="17"/>
                <w:szCs w:val="17"/>
              </w:rPr>
              <w:t>Thursday, 18</w:t>
            </w:r>
            <w:r w:rsidR="006A4A23" w:rsidRPr="006A4A23">
              <w:rPr>
                <w:rFonts w:cstheme="minorBidi"/>
                <w:sz w:val="17"/>
                <w:szCs w:val="17"/>
                <w:vertAlign w:val="superscript"/>
              </w:rPr>
              <w:t>th</w:t>
            </w:r>
            <w:r w:rsidR="006A4A23">
              <w:rPr>
                <w:rFonts w:cstheme="minorBidi"/>
                <w:sz w:val="17"/>
                <w:szCs w:val="17"/>
              </w:rPr>
              <w:t xml:space="preserve"> November 2021</w:t>
            </w:r>
            <w:r w:rsidR="001B4728">
              <w:rPr>
                <w:rFonts w:cstheme="minorBidi"/>
                <w:sz w:val="17"/>
                <w:szCs w:val="17"/>
              </w:rPr>
              <w:t xml:space="preserve"> </w:t>
            </w:r>
            <w:r w:rsidR="00EC41A5">
              <w:rPr>
                <w:rFonts w:cstheme="minorBidi"/>
                <w:sz w:val="17"/>
                <w:szCs w:val="17"/>
              </w:rPr>
              <w:t xml:space="preserve"> </w:t>
            </w:r>
            <w:r w:rsidR="00DC2D71">
              <w:rPr>
                <w:rFonts w:cstheme="minorBidi"/>
                <w:sz w:val="17"/>
                <w:szCs w:val="17"/>
              </w:rPr>
              <w:t xml:space="preserve"> 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Getting out of vehicle or 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Prior to starting  activity</w:t>
            </w:r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e.g.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in to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e.g.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ball sports with racquets/bats/sticks e.g.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private vehicle or 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All COVID procedures will be clearly communicated to schools, sports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1B9F5CF2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3830A8F9" w:rsidRPr="164EB2A0">
              <w:rPr>
                <w:rFonts w:asciiTheme="minorHAnsi" w:hAnsiTheme="minorHAnsi" w:cstheme="minorBidi"/>
                <w:sz w:val="17"/>
                <w:szCs w:val="17"/>
              </w:rPr>
              <w:t>Kelsey Singh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GM Sport,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      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Date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1B4728" w:rsidRPr="001B4728">
              <w:rPr>
                <w:rFonts w:asciiTheme="minorHAnsi" w:hAnsiTheme="minorHAnsi" w:cstheme="minorBidi"/>
                <w:sz w:val="17"/>
                <w:szCs w:val="17"/>
              </w:rPr>
              <w:t>20</w:t>
            </w:r>
            <w:r w:rsidR="00DC2D71">
              <w:rPr>
                <w:rFonts w:asciiTheme="minorHAnsi" w:hAnsiTheme="minorHAnsi" w:cstheme="minorBidi"/>
                <w:sz w:val="17"/>
                <w:szCs w:val="17"/>
              </w:rPr>
              <w:t>/08/2021</w:t>
            </w:r>
          </w:p>
          <w:p w14:paraId="38A9B93D" w14:textId="4206212B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6A4A23">
              <w:rPr>
                <w:rFonts w:asciiTheme="minorHAnsi" w:hAnsiTheme="minorHAnsi" w:cstheme="minorBidi"/>
                <w:sz w:val="17"/>
                <w:szCs w:val="17"/>
              </w:rPr>
              <w:t>North Melbourne Community Centre</w:t>
            </w:r>
            <w:r w:rsidR="00776722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1B4728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1052B5"/>
    <w:rsid w:val="00106DE1"/>
    <w:rsid w:val="00144978"/>
    <w:rsid w:val="00192C96"/>
    <w:rsid w:val="001B4728"/>
    <w:rsid w:val="001E0E1A"/>
    <w:rsid w:val="002271FB"/>
    <w:rsid w:val="00263160"/>
    <w:rsid w:val="002F4CDB"/>
    <w:rsid w:val="00313812"/>
    <w:rsid w:val="0032244A"/>
    <w:rsid w:val="003620F6"/>
    <w:rsid w:val="003675FE"/>
    <w:rsid w:val="003A0136"/>
    <w:rsid w:val="003A79F5"/>
    <w:rsid w:val="003B0052"/>
    <w:rsid w:val="003B38EE"/>
    <w:rsid w:val="003E6BB1"/>
    <w:rsid w:val="003F6498"/>
    <w:rsid w:val="004A4AD9"/>
    <w:rsid w:val="004D6DCB"/>
    <w:rsid w:val="0052161A"/>
    <w:rsid w:val="005570C3"/>
    <w:rsid w:val="00577A39"/>
    <w:rsid w:val="005A09C7"/>
    <w:rsid w:val="005E1CD2"/>
    <w:rsid w:val="00636EC9"/>
    <w:rsid w:val="006A498B"/>
    <w:rsid w:val="006A4A23"/>
    <w:rsid w:val="006D4971"/>
    <w:rsid w:val="006D4B43"/>
    <w:rsid w:val="007264FA"/>
    <w:rsid w:val="0073234E"/>
    <w:rsid w:val="00776722"/>
    <w:rsid w:val="00794FA8"/>
    <w:rsid w:val="007E47D2"/>
    <w:rsid w:val="00802888"/>
    <w:rsid w:val="00803F4C"/>
    <w:rsid w:val="008328DB"/>
    <w:rsid w:val="00857A92"/>
    <w:rsid w:val="00882EA7"/>
    <w:rsid w:val="008868D0"/>
    <w:rsid w:val="008B5F7E"/>
    <w:rsid w:val="008B74F4"/>
    <w:rsid w:val="008E58B0"/>
    <w:rsid w:val="00907F2F"/>
    <w:rsid w:val="009508B4"/>
    <w:rsid w:val="009C4CE1"/>
    <w:rsid w:val="009F588D"/>
    <w:rsid w:val="00A1410C"/>
    <w:rsid w:val="00A43546"/>
    <w:rsid w:val="00AA0FA6"/>
    <w:rsid w:val="00AC3B11"/>
    <w:rsid w:val="00AE6234"/>
    <w:rsid w:val="00B504B4"/>
    <w:rsid w:val="00BD5A35"/>
    <w:rsid w:val="00C02BC0"/>
    <w:rsid w:val="00C03E6A"/>
    <w:rsid w:val="00C9436B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Kristy Rohrer</cp:lastModifiedBy>
  <cp:revision>14</cp:revision>
  <cp:lastPrinted>2021-08-04T04:45:00Z</cp:lastPrinted>
  <dcterms:created xsi:type="dcterms:W3CDTF">2021-02-24T03:46:00Z</dcterms:created>
  <dcterms:modified xsi:type="dcterms:W3CDTF">2021-08-24T02:54:00Z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